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48D7A1">
      <w:pPr>
        <w:spacing w:before="78" w:line="219" w:lineRule="auto"/>
        <w:rPr>
          <w:rFonts w:hint="default" w:ascii="仿宋" w:hAnsi="仿宋" w:eastAsia="仿宋" w:cs="仿宋"/>
          <w:spacing w:val="0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spacing w:val="0"/>
          <w:sz w:val="28"/>
          <w:szCs w:val="28"/>
          <w:lang w:val="en-US" w:eastAsia="zh-CN"/>
        </w:rPr>
        <w:t>附件1</w:t>
      </w:r>
    </w:p>
    <w:p w14:paraId="31A9629B">
      <w:pPr>
        <w:spacing w:before="139" w:line="198" w:lineRule="auto"/>
        <w:ind w:left="0"/>
        <w:jc w:val="center"/>
        <w:rPr>
          <w:rFonts w:hint="default" w:ascii="华文中宋" w:hAnsi="华文中宋" w:eastAsia="华文中宋" w:cs="华文中宋"/>
          <w:b w:val="0"/>
          <w:bCs w:val="0"/>
          <w:color w:val="000000"/>
          <w:spacing w:val="7"/>
          <w:sz w:val="35"/>
          <w:szCs w:val="35"/>
        </w:rPr>
      </w:pPr>
      <w:r>
        <w:rPr>
          <w:rFonts w:hint="default" w:ascii="华文中宋" w:hAnsi="华文中宋" w:eastAsia="华文中宋" w:cs="华文中宋"/>
          <w:b w:val="0"/>
          <w:bCs w:val="0"/>
          <w:color w:val="000000"/>
          <w:spacing w:val="7"/>
          <w:sz w:val="35"/>
          <w:szCs w:val="35"/>
        </w:rPr>
        <w:t>北京交通大学</w:t>
      </w:r>
      <w:r>
        <w:rPr>
          <w:rFonts w:hint="eastAsia" w:ascii="华文中宋" w:hAnsi="华文中宋" w:eastAsia="华文中宋" w:cs="华文中宋"/>
          <w:b w:val="0"/>
          <w:bCs w:val="0"/>
          <w:color w:val="000000"/>
          <w:spacing w:val="7"/>
          <w:sz w:val="35"/>
          <w:szCs w:val="35"/>
          <w:lang w:val="en-US" w:eastAsia="zh-CN"/>
        </w:rPr>
        <w:t>唐山研究院</w:t>
      </w:r>
      <w:r>
        <w:rPr>
          <w:rFonts w:hint="default" w:ascii="华文中宋" w:hAnsi="华文中宋" w:eastAsia="华文中宋" w:cs="华文中宋"/>
          <w:b w:val="0"/>
          <w:bCs w:val="0"/>
          <w:color w:val="000000"/>
          <w:spacing w:val="7"/>
          <w:sz w:val="35"/>
          <w:szCs w:val="35"/>
        </w:rPr>
        <w:t>货物、</w:t>
      </w:r>
      <w:r>
        <w:rPr>
          <w:rFonts w:ascii="华文中宋" w:hAnsi="华文中宋" w:eastAsia="华文中宋" w:cs="华文中宋"/>
          <w:b w:val="0"/>
          <w:bCs w:val="0"/>
          <w:color w:val="000000"/>
          <w:spacing w:val="7"/>
          <w:sz w:val="35"/>
          <w:szCs w:val="35"/>
        </w:rPr>
        <w:t>服务</w:t>
      </w:r>
      <w:r>
        <w:rPr>
          <w:rFonts w:hint="default" w:ascii="华文中宋" w:hAnsi="华文中宋" w:eastAsia="华文中宋" w:cs="华文中宋"/>
          <w:b w:val="0"/>
          <w:bCs w:val="0"/>
          <w:color w:val="000000"/>
          <w:spacing w:val="7"/>
          <w:sz w:val="35"/>
          <w:szCs w:val="35"/>
        </w:rPr>
        <w:t>采购询价单</w:t>
      </w:r>
    </w:p>
    <w:p w14:paraId="4B11B03A">
      <w:pPr>
        <w:spacing w:before="139" w:line="198" w:lineRule="auto"/>
        <w:ind w:left="0"/>
        <w:jc w:val="center"/>
        <w:rPr>
          <w:rFonts w:hint="default" w:ascii="华文中宋" w:hAnsi="华文中宋" w:eastAsia="华文中宋" w:cs="华文中宋"/>
          <w:b w:val="0"/>
          <w:bCs w:val="0"/>
          <w:color w:val="000000"/>
          <w:spacing w:val="7"/>
          <w:sz w:val="35"/>
          <w:szCs w:val="35"/>
        </w:rPr>
      </w:pPr>
    </w:p>
    <w:p w14:paraId="6B76577C">
      <w:pPr>
        <w:spacing w:line="360" w:lineRule="auto"/>
        <w:jc w:val="left"/>
        <w:rPr>
          <w:rFonts w:ascii="宋体" w:hAnsi="宋体"/>
          <w:sz w:val="24"/>
        </w:rPr>
      </w:pPr>
      <w:r>
        <w:rPr>
          <w:rFonts w:hint="eastAsia" w:ascii="宋体" w:hAnsi="宋体" w:eastAsia="宋体"/>
          <w:b/>
          <w:bCs/>
          <w:sz w:val="24"/>
          <w:lang w:val="en-US" w:eastAsia="zh-CN"/>
        </w:rPr>
        <w:t>研究院</w:t>
      </w:r>
      <w:r>
        <w:rPr>
          <w:rFonts w:hint="eastAsia" w:ascii="宋体" w:hAnsi="宋体"/>
          <w:b/>
          <w:bCs/>
          <w:sz w:val="24"/>
        </w:rPr>
        <w:t>用户</w:t>
      </w:r>
      <w:r>
        <w:rPr>
          <w:rFonts w:hint="eastAsia" w:ascii="宋体" w:hAnsi="宋体" w:eastAsia="宋体"/>
          <w:b/>
          <w:bCs/>
          <w:sz w:val="24"/>
          <w:lang w:val="en-US" w:eastAsia="zh-CN"/>
        </w:rPr>
        <w:t>部门</w:t>
      </w:r>
      <w:r>
        <w:rPr>
          <w:rFonts w:hint="eastAsia" w:ascii="宋体" w:hAnsi="宋体"/>
          <w:b/>
          <w:bCs/>
          <w:sz w:val="24"/>
        </w:rPr>
        <w:t>：</w:t>
      </w:r>
      <w:r>
        <w:rPr>
          <w:rFonts w:hint="eastAsia" w:ascii="宋体" w:hAnsi="宋体" w:eastAsia="宋体"/>
          <w:b/>
          <w:bCs/>
          <w:sz w:val="24"/>
          <w:lang w:val="en-US" w:eastAsia="zh-CN"/>
        </w:rPr>
        <w:t>信息网络部</w:t>
      </w:r>
      <w:r>
        <w:rPr>
          <w:rFonts w:hint="eastAsia" w:ascii="宋体" w:hAnsi="宋体"/>
          <w:sz w:val="24"/>
        </w:rPr>
        <w:t xml:space="preserve">         </w:t>
      </w:r>
    </w:p>
    <w:p w14:paraId="4F264A0D">
      <w:pPr>
        <w:spacing w:line="360" w:lineRule="auto"/>
        <w:jc w:val="lef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询价起止时间：</w:t>
      </w:r>
      <w:r>
        <w:rPr>
          <w:rFonts w:hint="eastAsia" w:ascii="宋体" w:hAnsi="宋体" w:eastAsia="宋体"/>
          <w:sz w:val="24"/>
          <w:lang w:val="en-US" w:eastAsia="zh-CN"/>
        </w:rPr>
        <w:t>2026</w:t>
      </w:r>
      <w:r>
        <w:rPr>
          <w:rFonts w:hint="eastAsia" w:ascii="宋体" w:hAnsi="宋体"/>
          <w:sz w:val="24"/>
        </w:rPr>
        <w:t>年</w:t>
      </w:r>
      <w:r>
        <w:rPr>
          <w:rFonts w:hint="eastAsia" w:ascii="宋体" w:hAnsi="宋体" w:eastAsia="宋体"/>
          <w:sz w:val="24"/>
          <w:lang w:val="en-US" w:eastAsia="zh-CN"/>
        </w:rPr>
        <w:t>10</w:t>
      </w:r>
      <w:r>
        <w:rPr>
          <w:rFonts w:hint="eastAsia" w:ascii="宋体" w:hAnsi="宋体"/>
          <w:sz w:val="24"/>
        </w:rPr>
        <w:t>月</w:t>
      </w:r>
      <w:r>
        <w:rPr>
          <w:rFonts w:hint="eastAsia" w:ascii="宋体" w:hAnsi="宋体" w:eastAsia="宋体"/>
          <w:sz w:val="24"/>
          <w:lang w:val="en-US" w:eastAsia="zh-CN"/>
        </w:rPr>
        <w:t>15</w:t>
      </w:r>
      <w:r>
        <w:rPr>
          <w:rFonts w:hint="eastAsia" w:ascii="宋体" w:hAnsi="宋体"/>
          <w:sz w:val="24"/>
        </w:rPr>
        <w:t>日0</w:t>
      </w:r>
      <w:r>
        <w:rPr>
          <w:rFonts w:hint="eastAsia" w:ascii="宋体" w:hAnsi="宋体" w:eastAsia="宋体"/>
          <w:sz w:val="24"/>
          <w:lang w:val="en-US" w:eastAsia="zh-CN"/>
        </w:rPr>
        <w:t>8</w:t>
      </w:r>
      <w:r>
        <w:rPr>
          <w:rFonts w:hint="eastAsia" w:ascii="宋体" w:hAnsi="宋体"/>
          <w:sz w:val="24"/>
        </w:rPr>
        <w:t>:00 至</w:t>
      </w:r>
      <w:r>
        <w:rPr>
          <w:rFonts w:hint="eastAsia" w:ascii="宋体" w:hAnsi="宋体" w:eastAsia="宋体"/>
          <w:sz w:val="24"/>
          <w:lang w:val="en-US" w:eastAsia="zh-CN"/>
        </w:rPr>
        <w:t>2026</w:t>
      </w:r>
      <w:r>
        <w:rPr>
          <w:rFonts w:hint="eastAsia" w:ascii="宋体" w:hAnsi="宋体"/>
          <w:sz w:val="24"/>
        </w:rPr>
        <w:t>年</w:t>
      </w:r>
      <w:r>
        <w:rPr>
          <w:rFonts w:hint="eastAsia" w:ascii="宋体" w:hAnsi="宋体" w:eastAsia="宋体"/>
          <w:sz w:val="24"/>
          <w:lang w:val="en-US" w:eastAsia="zh-CN"/>
        </w:rPr>
        <w:t>10</w:t>
      </w:r>
      <w:r>
        <w:rPr>
          <w:rFonts w:hint="eastAsia" w:ascii="宋体" w:hAnsi="宋体"/>
          <w:sz w:val="24"/>
        </w:rPr>
        <w:t>月</w:t>
      </w:r>
      <w:r>
        <w:rPr>
          <w:rFonts w:hint="eastAsia" w:ascii="宋体" w:hAnsi="宋体" w:eastAsia="宋体"/>
          <w:sz w:val="24"/>
          <w:lang w:val="en-US" w:eastAsia="zh-CN"/>
        </w:rPr>
        <w:t>19</w:t>
      </w:r>
      <w:r>
        <w:rPr>
          <w:rFonts w:hint="eastAsia" w:ascii="宋体" w:hAnsi="宋体"/>
          <w:sz w:val="24"/>
        </w:rPr>
        <w:t xml:space="preserve">日 </w:t>
      </w:r>
      <w:r>
        <w:rPr>
          <w:rFonts w:hint="eastAsia" w:ascii="宋体" w:hAnsi="宋体" w:eastAsia="宋体"/>
          <w:sz w:val="24"/>
          <w:lang w:val="en-US" w:eastAsia="zh-CN"/>
        </w:rPr>
        <w:t>17</w:t>
      </w:r>
      <w:r>
        <w:rPr>
          <w:rFonts w:hint="eastAsia" w:ascii="宋体" w:hAnsi="宋体"/>
          <w:sz w:val="24"/>
        </w:rPr>
        <w:t>:00</w:t>
      </w:r>
    </w:p>
    <w:tbl>
      <w:tblPr>
        <w:tblStyle w:val="3"/>
        <w:tblW w:w="90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195"/>
        <w:gridCol w:w="2299"/>
        <w:gridCol w:w="900"/>
        <w:gridCol w:w="833"/>
        <w:gridCol w:w="1567"/>
        <w:gridCol w:w="1569"/>
      </w:tblGrid>
      <w:tr w14:paraId="407B9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704" w:type="dxa"/>
            <w:vAlign w:val="center"/>
          </w:tcPr>
          <w:p w14:paraId="748A98C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序号</w:t>
            </w:r>
          </w:p>
        </w:tc>
        <w:tc>
          <w:tcPr>
            <w:tcW w:w="1195" w:type="dxa"/>
            <w:vAlign w:val="center"/>
          </w:tcPr>
          <w:p w14:paraId="2305B51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名称</w:t>
            </w:r>
          </w:p>
        </w:tc>
        <w:tc>
          <w:tcPr>
            <w:tcW w:w="2299" w:type="dxa"/>
            <w:vAlign w:val="center"/>
          </w:tcPr>
          <w:p w14:paraId="347B391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技术参数</w:t>
            </w:r>
          </w:p>
        </w:tc>
        <w:tc>
          <w:tcPr>
            <w:tcW w:w="900" w:type="dxa"/>
            <w:vAlign w:val="center"/>
          </w:tcPr>
          <w:p w14:paraId="0C60A4D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数量</w:t>
            </w:r>
          </w:p>
        </w:tc>
        <w:tc>
          <w:tcPr>
            <w:tcW w:w="833" w:type="dxa"/>
            <w:vAlign w:val="center"/>
          </w:tcPr>
          <w:p w14:paraId="71B4B8B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Arial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Arial"/>
                <w:b/>
                <w:bCs/>
                <w:sz w:val="24"/>
                <w:lang w:val="en-US" w:eastAsia="zh-CN"/>
              </w:rPr>
              <w:t>单位</w:t>
            </w:r>
          </w:p>
        </w:tc>
        <w:tc>
          <w:tcPr>
            <w:tcW w:w="1567" w:type="dxa"/>
            <w:vAlign w:val="center"/>
          </w:tcPr>
          <w:p w14:paraId="74E7EEC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单价（元）</w:t>
            </w:r>
          </w:p>
        </w:tc>
        <w:tc>
          <w:tcPr>
            <w:tcW w:w="1569" w:type="dxa"/>
            <w:vAlign w:val="center"/>
          </w:tcPr>
          <w:p w14:paraId="2F448DF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总价（元）</w:t>
            </w:r>
          </w:p>
        </w:tc>
      </w:tr>
      <w:tr w14:paraId="1EA35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70" w:hRule="atLeast"/>
          <w:jc w:val="center"/>
        </w:trPr>
        <w:tc>
          <w:tcPr>
            <w:tcW w:w="704" w:type="dxa"/>
            <w:vAlign w:val="center"/>
          </w:tcPr>
          <w:p w14:paraId="6A0861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40" w:firstLineChars="100"/>
              <w:jc w:val="left"/>
              <w:rPr>
                <w:rFonts w:hint="eastAsia" w:ascii="宋体" w:hAnsi="宋体" w:eastAsia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/>
                <w:sz w:val="24"/>
                <w:lang w:val="en-US" w:eastAsia="zh-CN"/>
              </w:rPr>
              <w:t>1</w:t>
            </w:r>
          </w:p>
        </w:tc>
        <w:tc>
          <w:tcPr>
            <w:tcW w:w="1195" w:type="dxa"/>
            <w:vAlign w:val="center"/>
          </w:tcPr>
          <w:p w14:paraId="7006E5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120" w:firstLineChars="50"/>
              <w:jc w:val="left"/>
              <w:rPr>
                <w:rFonts w:hint="default" w:ascii="宋体" w:hAnsi="宋体" w:eastAsia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/>
                <w:sz w:val="24"/>
                <w:lang w:val="en-US" w:eastAsia="zh-CN"/>
              </w:rPr>
              <w:t>互联网专线备路接入服务</w:t>
            </w:r>
          </w:p>
        </w:tc>
        <w:tc>
          <w:tcPr>
            <w:tcW w:w="2299" w:type="dxa"/>
            <w:vAlign w:val="center"/>
          </w:tcPr>
          <w:p w14:paraId="35ECD7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/>
                <w:sz w:val="24"/>
                <w:lang w:val="en-US" w:eastAsia="zh-CN"/>
              </w:rPr>
              <w:t>接入方式：专线；</w:t>
            </w:r>
          </w:p>
          <w:p w14:paraId="537422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/>
                <w:sz w:val="24"/>
                <w:lang w:val="en-US" w:eastAsia="zh-CN"/>
              </w:rPr>
              <w:t>带宽：上/下行500M；</w:t>
            </w:r>
          </w:p>
          <w:p w14:paraId="3F0E4F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/>
                <w:sz w:val="24"/>
                <w:lang w:val="en-US" w:eastAsia="zh-CN"/>
              </w:rPr>
              <w:t>公网IP地址数量：≥2个</w:t>
            </w:r>
          </w:p>
        </w:tc>
        <w:tc>
          <w:tcPr>
            <w:tcW w:w="900" w:type="dxa"/>
            <w:vAlign w:val="center"/>
          </w:tcPr>
          <w:p w14:paraId="3ED575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40" w:firstLineChars="100"/>
              <w:jc w:val="left"/>
              <w:rPr>
                <w:rFonts w:hint="eastAsia" w:ascii="宋体" w:hAnsi="宋体" w:eastAsia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/>
                <w:sz w:val="24"/>
                <w:lang w:val="en-US" w:eastAsia="zh-CN"/>
              </w:rPr>
              <w:t>1</w:t>
            </w:r>
          </w:p>
        </w:tc>
        <w:tc>
          <w:tcPr>
            <w:tcW w:w="833" w:type="dxa"/>
            <w:vAlign w:val="center"/>
          </w:tcPr>
          <w:p w14:paraId="733F868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宋体" w:hAnsi="宋体" w:eastAsia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/>
                <w:sz w:val="24"/>
                <w:lang w:val="en-US" w:eastAsia="zh-CN"/>
              </w:rPr>
              <w:t>年</w:t>
            </w:r>
          </w:p>
        </w:tc>
        <w:tc>
          <w:tcPr>
            <w:tcW w:w="1567" w:type="dxa"/>
            <w:vAlign w:val="center"/>
          </w:tcPr>
          <w:p w14:paraId="050CFBF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宋体" w:hAnsi="宋体" w:eastAsia="宋体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569" w:type="dxa"/>
            <w:vAlign w:val="center"/>
          </w:tcPr>
          <w:p w14:paraId="1D0D681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宋体" w:hAnsi="宋体" w:eastAsia="宋体"/>
                <w:b w:val="0"/>
                <w:bCs/>
                <w:sz w:val="24"/>
                <w:lang w:val="en-US" w:eastAsia="zh-CN"/>
              </w:rPr>
            </w:pPr>
          </w:p>
        </w:tc>
      </w:tr>
      <w:tr w14:paraId="53B72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4" w:hRule="atLeast"/>
          <w:jc w:val="center"/>
        </w:trPr>
        <w:tc>
          <w:tcPr>
            <w:tcW w:w="9067" w:type="dxa"/>
            <w:gridSpan w:val="7"/>
            <w:vAlign w:val="center"/>
          </w:tcPr>
          <w:p w14:paraId="0BE39A5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rPr>
                <w:rFonts w:hint="default" w:ascii="宋体" w:hAnsi="宋体" w:eastAsia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</w:rPr>
              <w:t>合计</w:t>
            </w:r>
            <w:r>
              <w:rPr>
                <w:rFonts w:hint="eastAsia" w:ascii="宋体" w:hAnsi="宋体" w:eastAsia="宋体"/>
                <w:b/>
                <w:sz w:val="24"/>
                <w:lang w:val="en-US" w:eastAsia="zh-CN"/>
              </w:rPr>
              <w:t xml:space="preserve">      （元）</w:t>
            </w:r>
          </w:p>
        </w:tc>
      </w:tr>
    </w:tbl>
    <w:p w14:paraId="574B4839">
      <w:pPr>
        <w:adjustRightInd w:val="0"/>
        <w:spacing w:line="360" w:lineRule="auto"/>
        <w:rPr>
          <w:rFonts w:hint="eastAsia" w:ascii="宋体" w:hAnsi="宋体" w:eastAsia="宋体"/>
          <w:sz w:val="24"/>
          <w:lang w:val="en-US" w:eastAsia="zh-CN"/>
        </w:rPr>
      </w:pPr>
      <w:r>
        <w:rPr>
          <w:rFonts w:hint="eastAsia" w:ascii="宋体" w:hAnsi="宋体" w:eastAsia="宋体"/>
          <w:sz w:val="24"/>
          <w:lang w:val="en-US" w:eastAsia="zh-CN"/>
        </w:rPr>
        <w:t>说明：</w:t>
      </w:r>
    </w:p>
    <w:p w14:paraId="62DE0B29">
      <w:pPr>
        <w:adjustRightInd w:val="0"/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1、用户单位及时开展供应商资质审查工作，查询各报价供应商之间是否存在关联关系，若发现存在关联，则此次报价无效，需重新组织询价工作。</w:t>
      </w:r>
    </w:p>
    <w:p w14:paraId="2026FA66">
      <w:pPr>
        <w:adjustRightInd w:val="0"/>
        <w:spacing w:line="360" w:lineRule="auto"/>
        <w:rPr>
          <w:rFonts w:hint="eastAsia" w:ascii="宋体" w:hAnsi="宋体"/>
          <w:b/>
          <w:sz w:val="24"/>
        </w:rPr>
      </w:pPr>
      <w:r>
        <w:rPr>
          <w:rFonts w:hint="eastAsia" w:ascii="宋体" w:hAnsi="宋体" w:eastAsia="宋体"/>
          <w:b/>
          <w:sz w:val="24"/>
          <w:lang w:val="en-US" w:eastAsia="zh-CN"/>
        </w:rPr>
        <w:t>研究院</w:t>
      </w:r>
      <w:r>
        <w:rPr>
          <w:rFonts w:hint="eastAsia" w:ascii="宋体" w:hAnsi="宋体"/>
          <w:b/>
          <w:sz w:val="24"/>
        </w:rPr>
        <w:t>用户签字：</w:t>
      </w:r>
    </w:p>
    <w:p w14:paraId="01590605">
      <w:pPr>
        <w:adjustRightInd w:val="0"/>
        <w:spacing w:line="360" w:lineRule="auto"/>
        <w:rPr>
          <w:rFonts w:hint="eastAsia" w:ascii="宋体" w:hAnsi="宋体"/>
          <w:b/>
          <w:sz w:val="24"/>
        </w:rPr>
      </w:pPr>
    </w:p>
    <w:p w14:paraId="580E4A4B">
      <w:pPr>
        <w:tabs>
          <w:tab w:val="left" w:pos="630"/>
        </w:tabs>
        <w:adjustRightInd w:val="0"/>
        <w:snapToGrid w:val="0"/>
        <w:spacing w:before="156" w:beforeLines="50"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2、</w:t>
      </w:r>
      <w:r>
        <w:rPr>
          <w:rFonts w:hint="eastAsia" w:ascii="宋体" w:hAnsi="宋体"/>
          <w:b/>
          <w:bCs/>
          <w:sz w:val="24"/>
        </w:rPr>
        <w:t>供应商承诺：</w:t>
      </w:r>
      <w:r>
        <w:rPr>
          <w:rFonts w:hint="eastAsia" w:ascii="宋体" w:hAnsi="宋体"/>
          <w:sz w:val="24"/>
        </w:rPr>
        <w:t>未联合其他关联公司共同参与本项目询价过程，并且在本项目提供报价的一切资料均为真实合法，没有不实的描述、承诺或者伪造、变造的情形。如果我方在本项目询价中做虚假承诺或者在报价中提供虚假资料，本次报价无效，并自愿接受相关处罚，及由此带来的法律后果。</w:t>
      </w:r>
    </w:p>
    <w:p w14:paraId="5183DE1D">
      <w:pPr>
        <w:tabs>
          <w:tab w:val="left" w:pos="630"/>
        </w:tabs>
        <w:adjustRightInd w:val="0"/>
        <w:snapToGrid w:val="0"/>
        <w:spacing w:before="156" w:beforeLines="50" w:line="360" w:lineRule="auto"/>
        <w:rPr>
          <w:rFonts w:hint="default" w:ascii="宋体" w:hAnsi="宋体" w:eastAsia="宋体"/>
          <w:b/>
          <w:sz w:val="24"/>
          <w:lang w:val="en-US" w:eastAsia="zh-CN"/>
        </w:rPr>
      </w:pPr>
      <w:r>
        <w:rPr>
          <w:rFonts w:hint="eastAsia" w:ascii="宋体" w:hAnsi="宋体"/>
          <w:b/>
          <w:sz w:val="24"/>
        </w:rPr>
        <w:t>供应商项目负责人（签字）：</w:t>
      </w:r>
      <w:r>
        <w:rPr>
          <w:rFonts w:hint="eastAsia" w:ascii="宋体" w:hAnsi="宋体" w:eastAsia="宋体"/>
          <w:b/>
          <w:sz w:val="24"/>
          <w:lang w:val="en-US" w:eastAsia="zh-CN"/>
        </w:rPr>
        <w:t xml:space="preserve">                 联系方式：</w:t>
      </w:r>
    </w:p>
    <w:p w14:paraId="65F70DD2">
      <w:pPr>
        <w:tabs>
          <w:tab w:val="left" w:pos="630"/>
        </w:tabs>
        <w:adjustRightInd w:val="0"/>
        <w:snapToGrid w:val="0"/>
        <w:spacing w:before="156" w:beforeLines="50" w:line="360" w:lineRule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宋体" w:hAnsi="宋体"/>
          <w:b/>
          <w:sz w:val="24"/>
        </w:rPr>
        <w:t>供应商单位名称（盖章）：</w:t>
      </w:r>
    </w:p>
    <w:p w14:paraId="1B7CB191"/>
    <w:sectPr>
      <w:headerReference r:id="rId3" w:type="default"/>
      <w:footerReference r:id="rId4" w:type="default"/>
      <w:pgSz w:w="11905" w:h="16838"/>
      <w:pgMar w:top="1440" w:right="1803" w:bottom="1440" w:left="1803" w:header="0" w:footer="1463" w:gutter="0"/>
      <w:pgNumType w:fmt="decimal"/>
      <w:cols w:space="0" w:num="1"/>
      <w:rtlGutter w:val="0"/>
      <w:docGrid w:linePitch="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39F475">
    <w:pPr>
      <w:spacing w:line="230" w:lineRule="exact"/>
      <w:ind w:left="3919"/>
      <w:rPr>
        <w:rFonts w:ascii="Calibri" w:hAnsi="Calibri" w:eastAsia="Calibri" w:cs="Calibri"/>
        <w:sz w:val="18"/>
        <w:szCs w:val="1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D81E6F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7183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2026-10-14T06:16:14Z</dcterms:created>
  <dc:creator>Administrator</dc:creator>
  <cp:lastModifiedBy>赵颖</cp:lastModifiedBy>
  <dcterms:modified xsi:type="dcterms:W3CDTF">2026-10-14T06:16:34Z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eyJoZGlkIjoiNjA0ODFiN2U5ZGQ4ZjViMWI3YTFmOTBhYjE2OTc3ODQiLCJ1c2VySWQiOiI0MTg4MTI0ODIifQ==</vt:lpwstr>
  </property>
  <property fmtid="{D5CDD505-2E9C-101B-9397-08002B2CF9AE}" pid="4" name="ICV">
    <vt:lpwstr>A9F88EFE58C84EA49979B94AE0963C9A_12</vt:lpwstr>
  </property>
</Properties>
</file>